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F29EA">
      <w:pPr>
        <w:spacing w:line="400" w:lineRule="exact"/>
        <w:rPr>
          <w:rFonts w:ascii="黑体" w:hAnsi="黑体" w:eastAsia="黑体" w:cs="黑体"/>
          <w:sz w:val="32"/>
          <w:szCs w:val="32"/>
        </w:rPr>
      </w:pPr>
    </w:p>
    <w:p w14:paraId="0F117CB7">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bookmarkStart w:id="0" w:name="_GoBack"/>
      <w:bookmarkEnd w:id="0"/>
    </w:p>
    <w:p w14:paraId="1E41BBC3">
      <w:pPr>
        <w:spacing w:line="460" w:lineRule="exact"/>
        <w:jc w:val="left"/>
        <w:rPr>
          <w:rFonts w:eastAsia="仿宋"/>
          <w:sz w:val="32"/>
          <w:szCs w:val="32"/>
        </w:rPr>
      </w:pPr>
    </w:p>
    <w:p w14:paraId="240800A7">
      <w:pPr>
        <w:spacing w:line="460" w:lineRule="exact"/>
        <w:jc w:val="center"/>
        <w:rPr>
          <w:rFonts w:hint="eastAsia" w:eastAsia="仿宋"/>
          <w:b/>
          <w:bCs/>
          <w:sz w:val="32"/>
          <w:szCs w:val="32"/>
        </w:rPr>
      </w:pPr>
      <w:r>
        <w:rPr>
          <w:rFonts w:hint="eastAsia" w:eastAsia="仿宋"/>
          <w:b/>
          <w:bCs/>
          <w:sz w:val="32"/>
          <w:szCs w:val="32"/>
          <w:lang w:val="en-US" w:eastAsia="zh-CN"/>
        </w:rPr>
        <w:t>专业名称 高血压相关介入诊疗技术培训班</w:t>
      </w:r>
    </w:p>
    <w:p w14:paraId="731D621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b/>
          <w:bCs/>
          <w:sz w:val="24"/>
        </w:rPr>
      </w:pPr>
    </w:p>
    <w:p w14:paraId="7B76FC8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招生时间：</w:t>
      </w:r>
      <w:r>
        <w:rPr>
          <w:rFonts w:hint="eastAsia" w:ascii="仿宋" w:hAnsi="仿宋" w:eastAsia="仿宋" w:cs="仿宋"/>
          <w:sz w:val="24"/>
          <w:lang w:val="en-US" w:eastAsia="zh-CN"/>
        </w:rPr>
        <w:t>每月月末</w:t>
      </w:r>
    </w:p>
    <w:p w14:paraId="3832992B">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招生时限：</w:t>
      </w:r>
      <w:r>
        <w:rPr>
          <w:rFonts w:hint="eastAsia" w:ascii="仿宋" w:hAnsi="仿宋" w:eastAsia="仿宋" w:cs="仿宋"/>
          <w:sz w:val="24"/>
          <w:lang w:val="en-US" w:eastAsia="zh-CN"/>
        </w:rPr>
        <w:t>3</w:t>
      </w:r>
      <w:r>
        <w:rPr>
          <w:rFonts w:hint="eastAsia" w:ascii="仿宋" w:hAnsi="仿宋" w:eastAsia="仿宋" w:cs="仿宋"/>
          <w:sz w:val="24"/>
        </w:rPr>
        <w:t>个月、</w:t>
      </w:r>
      <w:r>
        <w:rPr>
          <w:rFonts w:hint="eastAsia" w:ascii="仿宋" w:hAnsi="仿宋" w:eastAsia="仿宋" w:cs="仿宋"/>
          <w:sz w:val="24"/>
          <w:lang w:val="en-US" w:eastAsia="zh-CN"/>
        </w:rPr>
        <w:t>6</w:t>
      </w:r>
      <w:r>
        <w:rPr>
          <w:rFonts w:hint="eastAsia" w:ascii="仿宋" w:hAnsi="仿宋" w:eastAsia="仿宋" w:cs="仿宋"/>
          <w:sz w:val="24"/>
        </w:rPr>
        <w:t>个月</w:t>
      </w:r>
    </w:p>
    <w:p w14:paraId="67088C93">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招生名额：</w:t>
      </w:r>
      <w:r>
        <w:rPr>
          <w:rFonts w:hint="eastAsia" w:ascii="仿宋" w:hAnsi="仿宋" w:eastAsia="仿宋" w:cs="仿宋"/>
          <w:sz w:val="24"/>
          <w:lang w:val="en-US" w:eastAsia="zh-CN"/>
        </w:rPr>
        <w:t>2</w:t>
      </w:r>
      <w:r>
        <w:rPr>
          <w:rFonts w:hint="eastAsia" w:ascii="仿宋" w:hAnsi="仿宋" w:eastAsia="仿宋" w:cs="仿宋"/>
          <w:sz w:val="24"/>
        </w:rPr>
        <w:t>人/</w:t>
      </w:r>
      <w:r>
        <w:rPr>
          <w:rFonts w:hint="eastAsia" w:ascii="仿宋" w:hAnsi="仿宋" w:eastAsia="仿宋" w:cs="仿宋"/>
          <w:sz w:val="24"/>
          <w:lang w:val="en-US" w:eastAsia="zh-CN"/>
        </w:rPr>
        <w:t>期</w:t>
      </w:r>
    </w:p>
    <w:p w14:paraId="73647A07">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进修费用：</w:t>
      </w:r>
      <w:r>
        <w:rPr>
          <w:rFonts w:hint="eastAsia" w:ascii="仿宋" w:hAnsi="仿宋" w:eastAsia="仿宋" w:cs="仿宋"/>
          <w:sz w:val="24"/>
          <w:lang w:val="en-US" w:eastAsia="zh-CN"/>
        </w:rPr>
        <w:t>6</w:t>
      </w:r>
      <w:r>
        <w:rPr>
          <w:rFonts w:hint="eastAsia" w:ascii="仿宋" w:hAnsi="仿宋" w:eastAsia="仿宋" w:cs="仿宋"/>
          <w:sz w:val="24"/>
        </w:rPr>
        <w:t>000元，</w:t>
      </w:r>
      <w:r>
        <w:rPr>
          <w:rFonts w:hint="eastAsia" w:ascii="仿宋" w:hAnsi="仿宋" w:eastAsia="仿宋" w:cs="仿宋"/>
          <w:sz w:val="24"/>
          <w:lang w:val="en-US" w:eastAsia="zh-CN"/>
        </w:rPr>
        <w:t>10</w:t>
      </w:r>
      <w:r>
        <w:rPr>
          <w:rFonts w:hint="eastAsia" w:ascii="仿宋" w:hAnsi="仿宋" w:eastAsia="仿宋" w:cs="仿宋"/>
          <w:sz w:val="24"/>
        </w:rPr>
        <w:t>000元</w:t>
      </w:r>
    </w:p>
    <w:p w14:paraId="6C1CCC65">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rPr>
        <w:t>专业联系</w:t>
      </w:r>
      <w:r>
        <w:rPr>
          <w:rFonts w:hint="eastAsia" w:ascii="仿宋" w:hAnsi="仿宋" w:eastAsia="仿宋" w:cs="仿宋"/>
          <w:b/>
          <w:bCs/>
          <w:sz w:val="24"/>
          <w:lang w:val="en-US" w:eastAsia="zh-CN"/>
        </w:rPr>
        <w:t>人</w:t>
      </w:r>
      <w:r>
        <w:rPr>
          <w:rFonts w:hint="eastAsia" w:ascii="仿宋" w:hAnsi="仿宋" w:eastAsia="仿宋" w:cs="仿宋"/>
          <w:b/>
          <w:bCs/>
          <w:sz w:val="24"/>
        </w:rPr>
        <w:t>：</w:t>
      </w:r>
      <w:r>
        <w:rPr>
          <w:rFonts w:hint="eastAsia" w:ascii="仿宋" w:hAnsi="仿宋" w:eastAsia="仿宋" w:cs="仿宋"/>
          <w:sz w:val="24"/>
          <w:lang w:val="en-US" w:eastAsia="zh-CN"/>
        </w:rPr>
        <w:t>董徽15810161393</w:t>
      </w:r>
    </w:p>
    <w:p w14:paraId="65FC081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培训目标：</w:t>
      </w:r>
    </w:p>
    <w:p w14:paraId="37A11B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掌握高血压及相关血管疾病的介入诊断和治疗，包括分侧肾上腺静脉取血（AVS）、经皮去肾神经术（RDN）、分侧肾静脉取血（RVS）、经皮超选择性肾上腺动脉栓塞（SAAE）、血管疾病（肾动脉、主动脉、下肢动脉、锁骨下动脉等）的介入治疗。</w:t>
      </w:r>
    </w:p>
    <w:p w14:paraId="6DD7CDAD">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培训计划：</w:t>
      </w:r>
      <w:r>
        <w:rPr>
          <w:rFonts w:hint="eastAsia" w:ascii="仿宋" w:hAnsi="仿宋" w:eastAsia="仿宋" w:cs="仿宋"/>
          <w:sz w:val="24"/>
          <w:lang w:val="en-US" w:eastAsia="zh-CN"/>
        </w:rPr>
        <w:t xml:space="preserve"> </w:t>
      </w:r>
    </w:p>
    <w:p w14:paraId="52F2F0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介入手术日进入导管室进行导管相关操作的培训；非介入手术日在高血压病区进行高血压及相关血管疾病患者的管理培训。</w:t>
      </w:r>
    </w:p>
    <w:p w14:paraId="0EB5A0A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lang w:val="en-US" w:eastAsia="zh-CN"/>
        </w:rPr>
        <w:t>8、</w:t>
      </w:r>
      <w:r>
        <w:rPr>
          <w:rFonts w:hint="eastAsia" w:ascii="仿宋" w:hAnsi="仿宋" w:eastAsia="仿宋" w:cs="仿宋"/>
          <w:b/>
          <w:bCs/>
          <w:sz w:val="24"/>
        </w:rPr>
        <w:t>培训内容：</w:t>
      </w:r>
    </w:p>
    <w:p w14:paraId="58A213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（1）带教团队带教高血压及相关血管疾病介入诊疗技术的手术操作和围手术期管理；</w:t>
      </w:r>
    </w:p>
    <w:p w14:paraId="4BFAB1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（2）定期组织查房和讲课，对高血压及相关血管疾病诊治的现状和进展、介入操作等进行讲解；</w:t>
      </w:r>
    </w:p>
    <w:p w14:paraId="08CE0A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（3）根据学员自身需求和兴趣，安排学习科研项目的构思、设计到实施的全程管理，参与科研患者的管理和随访，指导撰写医学论文，优秀者推荐在相关期刊发表；</w:t>
      </w:r>
    </w:p>
    <w:p w14:paraId="6E4640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（4）参与介入诊疗技术的全国多中心合作研究</w:t>
      </w:r>
    </w:p>
    <w:p w14:paraId="0984654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9、科室介绍：</w:t>
      </w:r>
    </w:p>
    <w:p w14:paraId="06E18E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阜外医院高血压病区现任主任马文君，副主任董徽。高血压病区是国内专门从事高血压及相关疾病诊治的病区，集临床、教学、科研为一体，在继发性高血压鉴别、诊断、治疗、研究方面处于国内领先地位。常规开展血尿儿茶酚胺及代谢产物、血肾素、血管紧张素、醛固酮、尿醛固酮、尿游离皮质醇等化验，动态血压监测、四肢血压及动脉硬度、睡眠呼吸监测等检查。在肾性高血压、肾血管性高血压（包括动脉粥样硬化、大动脉炎和纤维肌性发育不良等）、原发性醛固酮增多症、嗜铬细胞瘤及副神经节瘤、肾素瘤、主动脉缩窄等继发性高血压诊治方面有丰富经验。高血压及相关血管疾病的介入诊断和治疗为本病区的特色工作，已完成介入诊疗5000余例，包括分侧肾上腺静脉取血（肘前静脉路径、股静脉路径）、经皮去肾神经术、分侧肾静脉取血、经皮超选择性肾上腺动脉栓塞、血管疾病（肾动脉、主动脉、下肢动脉、锁骨下动脉等）的介入治疗，手术成功率和并发症发生率均达到国际领先水平。</w:t>
      </w:r>
    </w:p>
    <w:p w14:paraId="5B23C4D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10、带教团队介绍：</w:t>
      </w:r>
    </w:p>
    <w:p w14:paraId="68AAE1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高血压病区拥有多名临床及教学经验丰富的带教老师，包括马文君、吴海英、张慧敏、周宪梁、董徽等多位高级职称的临床医生，团队成员在继发高血压筛查及高血压规范化管理等方面积累了大量宝贵的临床经验，在高血压相关科研领域也颇有建树，各位带教老师均亲自参与进修医生带教，态度认真负责，受到进修医生的一致好评。</w:t>
      </w:r>
    </w:p>
    <w:p w14:paraId="61C772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ascii="仿宋" w:hAnsi="仿宋" w:eastAsia="仿宋" w:cs="仿宋"/>
          <w:sz w:val="24"/>
          <w:lang w:val="en-US" w:eastAsia="zh-CN"/>
        </w:rPr>
        <w:t>介入诊疗技术核心带教：董徽，中国医学科学院阜外医院心内科副主任医师，医学博士，主要研究方向为高血压和外周血管疾病的诊断和治疗，尤其是高血压相关介入技术（分侧肾上腺静脉取血、经皮去肾神经术及经皮超选择性肾上腺动脉栓塞治疗原醛等）和外周血管疾病（颈动脉、锁骨下动脉、肾动脉、下肢动脉、主动脉等）的介入治疗。主持国家自然科学基金，医科院创新工程，中央高水平医院临床科研业务费多项，共发表第一作者论文50余篇，其中SCI论著20余篇，编写书籍3部（副主编）。学术任职：中国医促会外周动脉病学分会秘书长，北京健康促进会周围血管病与顽固性高血压专家委员会秘书长、第六届中国高血压联盟理事，中国高血压联盟 RDN治疗专业委员会副秘书长等。</w:t>
      </w:r>
    </w:p>
    <w:p w14:paraId="1F01356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11、考核标准（含结业考核及评优标准）：</w:t>
      </w:r>
    </w:p>
    <w:p w14:paraId="3E67C6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结业考核：熟练掌握高血压及相关血管疾病的介入诊疗技术的手术操作、围手术期管理及术后随访。</w:t>
      </w:r>
    </w:p>
    <w:p w14:paraId="147A44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评优标准：临床工作认真负责、善于团队合作及沟通，学习态度积极，能够掌握介入诊疗技术相关操作和理论知识；进修学习期间无医疗纠纷及投诉。</w:t>
      </w:r>
    </w:p>
    <w:p w14:paraId="1D91D9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9FE8A32-FAB7-48D1-9D19-761EAD4B0F89}"/>
  </w:font>
  <w:font w:name="方正小标宋简体">
    <w:panose1 w:val="02000000000000000000"/>
    <w:charset w:val="86"/>
    <w:family w:val="auto"/>
    <w:pitch w:val="default"/>
    <w:sig w:usb0="00000001" w:usb1="08000000" w:usb2="00000000" w:usb3="00000000" w:csb0="00040000" w:csb1="00000000"/>
    <w:embedRegular r:id="rId2" w:fontKey="{6A3D18C0-3867-4AD6-8BB3-A62006A5CBB9}"/>
  </w:font>
  <w:font w:name="仿宋">
    <w:panose1 w:val="02010609060101010101"/>
    <w:charset w:val="86"/>
    <w:family w:val="modern"/>
    <w:pitch w:val="default"/>
    <w:sig w:usb0="800002BF" w:usb1="38CF7CFA" w:usb2="00000016" w:usb3="00000000" w:csb0="00040001" w:csb1="00000000"/>
    <w:embedRegular r:id="rId3" w:fontKey="{272F4E57-4255-4CBC-B702-7BB9A73A347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5FBA4513"/>
    <w:rsid w:val="231B55B8"/>
    <w:rsid w:val="2EAF450D"/>
    <w:rsid w:val="3BF6691C"/>
    <w:rsid w:val="471B5415"/>
    <w:rsid w:val="5FBA4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1435</Words>
  <Characters>1472</Characters>
  <Lines>0</Lines>
  <Paragraphs>0</Paragraphs>
  <TotalTime>2</TotalTime>
  <ScaleCrop>false</ScaleCrop>
  <LinksUpToDate>false</LinksUpToDate>
  <CharactersWithSpaces>1475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2022-11-09T05:48:00Z</dcterms:created>
  <dc:creator>VAQ520</dc:creator>
  <cp:lastModifiedBy>小赵同学</cp:lastModifiedBy>
  <dcterms:modified xsi:type="dcterms:W3CDTF">2024-12-08T13:21:40Z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3F6E7531259946C3AA143E39C83206F6</vt:lpwstr>
  </property>
</Properties>
</file>